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88FB" w14:textId="1C265725" w:rsidR="00DF0D9C" w:rsidRPr="00AC2560" w:rsidRDefault="00AC2560" w:rsidP="00916B8D">
      <w:pPr>
        <w:jc w:val="both"/>
        <w:rPr>
          <w:rFonts w:asciiTheme="minorHAnsi" w:hAnsiTheme="minorHAnsi" w:cstheme="minorHAnsi"/>
          <w:snapToGrid w:val="0"/>
          <w:sz w:val="22"/>
          <w:szCs w:val="22"/>
        </w:rPr>
      </w:pPr>
      <w:r w:rsidRPr="00AC2560">
        <w:rPr>
          <w:rFonts w:asciiTheme="minorHAnsi" w:hAnsiTheme="minorHAnsi" w:cstheme="minorHAnsi"/>
          <w:noProof/>
          <w:snapToGrid w:val="0"/>
          <w:sz w:val="22"/>
        </w:rPr>
        <w:drawing>
          <wp:anchor distT="0" distB="0" distL="114300" distR="114300" simplePos="0" relativeHeight="251658240" behindDoc="0" locked="0" layoutInCell="1" allowOverlap="1" wp14:anchorId="71C377D2" wp14:editId="3EAD14AE">
            <wp:simplePos x="0" y="0"/>
            <wp:positionH relativeFrom="column">
              <wp:posOffset>2932260</wp:posOffset>
            </wp:positionH>
            <wp:positionV relativeFrom="paragraph">
              <wp:posOffset>-384717</wp:posOffset>
            </wp:positionV>
            <wp:extent cx="2914015" cy="1190625"/>
            <wp:effectExtent l="0" t="0" r="63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015" cy="1190625"/>
                    </a:xfrm>
                    <a:prstGeom prst="rect">
                      <a:avLst/>
                    </a:prstGeom>
                    <a:noFill/>
                  </pic:spPr>
                </pic:pic>
              </a:graphicData>
            </a:graphic>
          </wp:anchor>
        </w:drawing>
      </w:r>
    </w:p>
    <w:p w14:paraId="34B5D236" w14:textId="353DBA71" w:rsidR="00B94B9E" w:rsidRPr="00AC2560" w:rsidRDefault="00B94B9E" w:rsidP="00916B8D">
      <w:pPr>
        <w:jc w:val="both"/>
        <w:rPr>
          <w:rFonts w:asciiTheme="minorHAnsi" w:hAnsiTheme="minorHAnsi" w:cstheme="minorHAnsi"/>
          <w:snapToGrid w:val="0"/>
          <w:sz w:val="22"/>
          <w:szCs w:val="22"/>
        </w:rPr>
      </w:pPr>
    </w:p>
    <w:p w14:paraId="3E4E30F7" w14:textId="77777777" w:rsidR="00B94B9E" w:rsidRPr="00AC2560" w:rsidRDefault="00B94B9E" w:rsidP="00916B8D">
      <w:pPr>
        <w:jc w:val="both"/>
        <w:rPr>
          <w:rFonts w:asciiTheme="minorHAnsi" w:hAnsiTheme="minorHAnsi" w:cstheme="minorHAnsi"/>
          <w:snapToGrid w:val="0"/>
          <w:sz w:val="22"/>
          <w:szCs w:val="22"/>
        </w:rPr>
      </w:pPr>
    </w:p>
    <w:p w14:paraId="58B95B48" w14:textId="77777777" w:rsidR="00B94B9E" w:rsidRPr="00AC2560" w:rsidRDefault="00B94B9E" w:rsidP="00916B8D">
      <w:pPr>
        <w:jc w:val="both"/>
        <w:rPr>
          <w:rFonts w:asciiTheme="minorHAnsi" w:hAnsiTheme="minorHAnsi" w:cstheme="minorHAnsi"/>
          <w:b/>
          <w:snapToGrid w:val="0"/>
          <w:sz w:val="22"/>
          <w:szCs w:val="22"/>
        </w:rPr>
      </w:pPr>
    </w:p>
    <w:p w14:paraId="3A02F7CE" w14:textId="77777777" w:rsidR="00C613C2" w:rsidRPr="00AC2560" w:rsidRDefault="00C613C2" w:rsidP="00916B8D">
      <w:pPr>
        <w:jc w:val="both"/>
        <w:rPr>
          <w:rFonts w:asciiTheme="minorHAnsi" w:hAnsiTheme="minorHAnsi" w:cstheme="minorHAnsi"/>
          <w:b/>
          <w:i/>
          <w:snapToGrid w:val="0"/>
          <w:sz w:val="28"/>
          <w:szCs w:val="28"/>
        </w:rPr>
      </w:pPr>
    </w:p>
    <w:p w14:paraId="59EFB40B" w14:textId="7267C30A" w:rsidR="00B94B9E" w:rsidRPr="00AC2560" w:rsidRDefault="00B94B9E" w:rsidP="00916B8D">
      <w:pPr>
        <w:jc w:val="both"/>
        <w:rPr>
          <w:rFonts w:asciiTheme="minorHAnsi" w:hAnsiTheme="minorHAnsi" w:cstheme="minorHAnsi"/>
          <w:b/>
          <w:i/>
          <w:snapToGrid w:val="0"/>
          <w:sz w:val="28"/>
          <w:szCs w:val="28"/>
        </w:rPr>
      </w:pPr>
      <w:r w:rsidRPr="00AC2560">
        <w:rPr>
          <w:rFonts w:asciiTheme="minorHAnsi" w:hAnsiTheme="minorHAnsi" w:cstheme="minorHAnsi"/>
          <w:b/>
          <w:i/>
          <w:snapToGrid w:val="0"/>
          <w:sz w:val="28"/>
        </w:rPr>
        <w:t>Coinníollacha a bhaineann le ceadúnais arna ndeonú faoi alt 3 d</w:t>
      </w:r>
      <w:r w:rsidR="00AC2560">
        <w:rPr>
          <w:rFonts w:asciiTheme="minorHAnsi" w:hAnsiTheme="minorHAnsi" w:cstheme="minorHAnsi"/>
          <w:b/>
          <w:i/>
          <w:snapToGrid w:val="0"/>
          <w:sz w:val="28"/>
        </w:rPr>
        <w:t>’</w:t>
      </w:r>
      <w:r w:rsidRPr="00AC2560">
        <w:rPr>
          <w:rFonts w:asciiTheme="minorHAnsi" w:hAnsiTheme="minorHAnsi" w:cstheme="minorHAnsi"/>
          <w:b/>
          <w:i/>
          <w:snapToGrid w:val="0"/>
          <w:sz w:val="28"/>
        </w:rPr>
        <w:t>Acht na Séadchomharthaí Náisiúnta (Leasú) 1987</w:t>
      </w:r>
    </w:p>
    <w:p w14:paraId="5BDAF07F" w14:textId="77777777" w:rsidR="00B94B9E" w:rsidRPr="00AC2560" w:rsidRDefault="00B94B9E" w:rsidP="00916B8D">
      <w:pPr>
        <w:jc w:val="both"/>
        <w:rPr>
          <w:rFonts w:asciiTheme="minorHAnsi" w:hAnsiTheme="minorHAnsi" w:cstheme="minorHAnsi"/>
          <w:i/>
          <w:snapToGrid w:val="0"/>
          <w:sz w:val="22"/>
          <w:szCs w:val="22"/>
        </w:rPr>
      </w:pPr>
    </w:p>
    <w:p w14:paraId="7949248E" w14:textId="3C3FB5D0" w:rsidR="00B94B9E" w:rsidRPr="00AC2560" w:rsidRDefault="00DF5DC6" w:rsidP="00560300">
      <w:pPr>
        <w:jc w:val="both"/>
        <w:rPr>
          <w:rFonts w:asciiTheme="minorHAnsi" w:hAnsiTheme="minorHAnsi" w:cstheme="minorHAnsi"/>
          <w:b/>
          <w:snapToGrid w:val="0"/>
          <w:sz w:val="22"/>
          <w:szCs w:val="22"/>
        </w:rPr>
      </w:pPr>
      <w:r w:rsidRPr="00AC2560">
        <w:rPr>
          <w:rFonts w:asciiTheme="minorHAnsi" w:hAnsiTheme="minorHAnsi" w:cstheme="minorHAnsi"/>
          <w:snapToGrid w:val="0"/>
          <w:sz w:val="22"/>
        </w:rPr>
        <w:t>Seo a leanas coinníollacha caighdeánacha ceadúnais; féadfar coinníollacha speisialta ceadúnais a fhorchur ó am go chéile chomh maith, de réir mar is ábhartha do ghníomhaíochtaí speisialta ar gá ceadúnas lena n-aghaidh, de réir mar a fhaomhtar iad.</w:t>
      </w:r>
    </w:p>
    <w:p w14:paraId="060C556C" w14:textId="77777777" w:rsidR="00B94B9E" w:rsidRPr="00AC2560" w:rsidRDefault="00B94B9E" w:rsidP="00560300">
      <w:pPr>
        <w:ind w:left="2880" w:hanging="2880"/>
        <w:jc w:val="both"/>
        <w:rPr>
          <w:rFonts w:asciiTheme="minorHAnsi" w:hAnsiTheme="minorHAnsi" w:cstheme="minorHAnsi"/>
          <w:snapToGrid w:val="0"/>
          <w:sz w:val="22"/>
          <w:szCs w:val="22"/>
        </w:rPr>
      </w:pPr>
    </w:p>
    <w:p w14:paraId="7FD50917" w14:textId="4076A6ED" w:rsidR="00823A48" w:rsidRPr="00AC2560" w:rsidRDefault="00823A48" w:rsidP="00560300">
      <w:pPr>
        <w:pStyle w:val="ListParagraph"/>
        <w:numPr>
          <w:ilvl w:val="0"/>
          <w:numId w:val="6"/>
        </w:numPr>
        <w:jc w:val="both"/>
        <w:rPr>
          <w:rFonts w:asciiTheme="minorHAnsi" w:hAnsiTheme="minorHAnsi" w:cstheme="minorHAnsi"/>
          <w:snapToGrid w:val="0"/>
          <w:sz w:val="22"/>
          <w:szCs w:val="22"/>
        </w:rPr>
      </w:pPr>
      <w:r w:rsidRPr="00AC2560">
        <w:rPr>
          <w:rFonts w:asciiTheme="minorHAnsi" w:hAnsiTheme="minorHAnsi" w:cstheme="minorHAnsi"/>
          <w:snapToGrid w:val="0"/>
          <w:sz w:val="22"/>
        </w:rPr>
        <w:t>Trí ghlacadh leis an gceadúnas admhaíonn an t-iarratasóir nach bhfuil an tAire freagrach as nó faoi dhliteanas ar bhealach ar bith as aon chaillteanas ná díobháil do dhaoine nó mhaoin a eascraíonn as na gníomhaíochtaí ceadúnaithe.</w:t>
      </w:r>
    </w:p>
    <w:p w14:paraId="61C10922" w14:textId="77777777" w:rsidR="005310FC" w:rsidRPr="00AC2560" w:rsidRDefault="005310FC" w:rsidP="00560300">
      <w:pPr>
        <w:jc w:val="both"/>
        <w:rPr>
          <w:rFonts w:asciiTheme="minorHAnsi" w:hAnsiTheme="minorHAnsi" w:cstheme="minorHAnsi"/>
          <w:snapToGrid w:val="0"/>
          <w:sz w:val="22"/>
          <w:szCs w:val="22"/>
        </w:rPr>
      </w:pPr>
    </w:p>
    <w:p w14:paraId="2876D7A8" w14:textId="1199D53B" w:rsidR="00B94B9E" w:rsidRPr="00AC2560" w:rsidRDefault="00B94B9E" w:rsidP="00560300">
      <w:pPr>
        <w:pStyle w:val="ListParagraph"/>
        <w:numPr>
          <w:ilvl w:val="0"/>
          <w:numId w:val="6"/>
        </w:numPr>
        <w:jc w:val="both"/>
        <w:rPr>
          <w:rFonts w:asciiTheme="minorHAnsi" w:hAnsiTheme="minorHAnsi" w:cstheme="minorHAnsi"/>
          <w:snapToGrid w:val="0"/>
          <w:sz w:val="22"/>
          <w:szCs w:val="22"/>
        </w:rPr>
      </w:pPr>
      <w:r w:rsidRPr="00AC2560">
        <w:rPr>
          <w:rFonts w:asciiTheme="minorHAnsi" w:hAnsiTheme="minorHAnsi" w:cstheme="minorHAnsi"/>
          <w:snapToGrid w:val="0"/>
          <w:sz w:val="22"/>
        </w:rPr>
        <w:t>Ní mór don sealbhóir ceadúnais cloí ar gach bealach le forálacha Achtanna na Séadchomharthaí Náisiúnta 1930 go 2014, agus forálacha Achta ar bith lena n-athraítear, lena leasaítear nó lena n-ionadaítear na hAchtanna sin. Tá cóipeanna de na hAchtanna sin ar fáil ó láithreán gréasáin Sheirbhís na Séadchomharthaí Náisiúnta</w:t>
      </w:r>
      <w:r w:rsidR="00AC2560" w:rsidRPr="00AC2560">
        <w:rPr>
          <w:rFonts w:asciiTheme="minorHAnsi" w:hAnsiTheme="minorHAnsi" w:cstheme="minorHAnsi"/>
          <w:snapToGrid w:val="0"/>
          <w:sz w:val="22"/>
        </w:rPr>
        <w:t xml:space="preserve"> </w:t>
      </w:r>
      <w:hyperlink r:id="rId6" w:history="1">
        <w:r w:rsidR="00AC2560" w:rsidRPr="00957979">
          <w:rPr>
            <w:rStyle w:val="Hyperlink"/>
            <w:rFonts w:asciiTheme="minorHAnsi" w:hAnsiTheme="minorHAnsi" w:cstheme="minorHAnsi"/>
            <w:snapToGrid w:val="0"/>
            <w:sz w:val="22"/>
          </w:rPr>
          <w:t>www.archaeology.ie</w:t>
        </w:r>
      </w:hyperlink>
      <w:r w:rsidRPr="00AC2560">
        <w:rPr>
          <w:rFonts w:asciiTheme="minorHAnsi" w:hAnsiTheme="minorHAnsi" w:cstheme="minorHAnsi"/>
          <w:snapToGrid w:val="0"/>
          <w:sz w:val="22"/>
        </w:rPr>
        <w:t>.</w:t>
      </w:r>
    </w:p>
    <w:p w14:paraId="723C20D2" w14:textId="77777777" w:rsidR="00B94B9E" w:rsidRPr="00AC2560" w:rsidRDefault="00B94B9E" w:rsidP="00560300">
      <w:pPr>
        <w:jc w:val="both"/>
        <w:rPr>
          <w:rFonts w:asciiTheme="minorHAnsi" w:hAnsiTheme="minorHAnsi" w:cstheme="minorHAnsi"/>
          <w:snapToGrid w:val="0"/>
          <w:sz w:val="22"/>
          <w:szCs w:val="22"/>
        </w:rPr>
      </w:pPr>
    </w:p>
    <w:p w14:paraId="07C3FB7F" w14:textId="0692852C" w:rsidR="00B94B9E" w:rsidRPr="00AC2560" w:rsidRDefault="00B94B9E" w:rsidP="00560300">
      <w:pPr>
        <w:numPr>
          <w:ilvl w:val="0"/>
          <w:numId w:val="6"/>
        </w:numPr>
        <w:jc w:val="both"/>
        <w:rPr>
          <w:rFonts w:asciiTheme="minorHAnsi" w:hAnsiTheme="minorHAnsi" w:cstheme="minorHAnsi"/>
          <w:snapToGrid w:val="0"/>
          <w:sz w:val="22"/>
          <w:szCs w:val="22"/>
        </w:rPr>
      </w:pPr>
      <w:r w:rsidRPr="00AC2560">
        <w:rPr>
          <w:rFonts w:asciiTheme="minorHAnsi" w:hAnsiTheme="minorHAnsi" w:cstheme="minorHAnsi"/>
          <w:snapToGrid w:val="0"/>
          <w:sz w:val="22"/>
        </w:rPr>
        <w:t xml:space="preserve">Tabharfar uimhir thagartha don sealbhóir ceadúnais i ndáil leis an ngníomhaíocht cheadúnaithe, nach mór a úsáid sa chomhfhreagras go léir i ndáil leis an tionscadal/tumadh. </w:t>
      </w:r>
    </w:p>
    <w:p w14:paraId="0493FD80" w14:textId="77777777" w:rsidR="00B94B9E" w:rsidRPr="00AC2560" w:rsidRDefault="00B94B9E" w:rsidP="00560300">
      <w:pPr>
        <w:tabs>
          <w:tab w:val="left" w:pos="709"/>
        </w:tabs>
        <w:jc w:val="both"/>
        <w:rPr>
          <w:rFonts w:asciiTheme="minorHAnsi" w:hAnsiTheme="minorHAnsi" w:cstheme="minorHAnsi"/>
          <w:snapToGrid w:val="0"/>
          <w:sz w:val="22"/>
          <w:szCs w:val="22"/>
        </w:rPr>
      </w:pPr>
    </w:p>
    <w:p w14:paraId="3C70BA1E" w14:textId="48D70730" w:rsidR="00B94B9E" w:rsidRPr="00AC2560" w:rsidRDefault="00B94B9E" w:rsidP="00560300">
      <w:pPr>
        <w:numPr>
          <w:ilvl w:val="0"/>
          <w:numId w:val="6"/>
        </w:numPr>
        <w:jc w:val="both"/>
        <w:rPr>
          <w:rFonts w:asciiTheme="minorHAnsi" w:hAnsiTheme="minorHAnsi" w:cstheme="minorHAnsi"/>
          <w:snapToGrid w:val="0"/>
          <w:sz w:val="22"/>
          <w:szCs w:val="22"/>
        </w:rPr>
      </w:pPr>
      <w:r w:rsidRPr="00AC2560">
        <w:rPr>
          <w:rFonts w:asciiTheme="minorHAnsi" w:hAnsiTheme="minorHAnsi" w:cstheme="minorHAnsi"/>
          <w:snapToGrid w:val="0"/>
          <w:sz w:val="22"/>
        </w:rPr>
        <w:t>Murar féidir leo bheith i láthair agus an ghníomhaíocht cheadúnaithe ar siúl, ní mór don sealbhóir ceadúnais duine a ainmniú le bheith i láthair chun a chinntiú go gcloífear leis na coinníollacha go léir agus an ghníomhaíocht a bhfuil ceadúnas acu ina leith ar siúl. Ní mór don sealbhóir ceadúnais fógra a thabhairt do Sheirbhís na Séadchomharthaí Náisiúnta roimh ré faoi aitheantas an duine ainmnithe.</w:t>
      </w:r>
    </w:p>
    <w:p w14:paraId="76E16BC3" w14:textId="22EEB634" w:rsidR="00B94B9E" w:rsidRPr="00AC2560" w:rsidRDefault="00B94B9E" w:rsidP="00560300">
      <w:pPr>
        <w:jc w:val="both"/>
        <w:rPr>
          <w:rFonts w:asciiTheme="minorHAnsi" w:hAnsiTheme="minorHAnsi" w:cstheme="minorHAnsi"/>
          <w:snapToGrid w:val="0"/>
          <w:sz w:val="22"/>
          <w:szCs w:val="22"/>
        </w:rPr>
      </w:pPr>
    </w:p>
    <w:p w14:paraId="40F004DC" w14:textId="7D642B28" w:rsidR="00B94B9E" w:rsidRPr="00AC2560" w:rsidRDefault="007C5322" w:rsidP="00560300">
      <w:pPr>
        <w:numPr>
          <w:ilvl w:val="0"/>
          <w:numId w:val="6"/>
        </w:numPr>
        <w:jc w:val="both"/>
        <w:rPr>
          <w:rFonts w:asciiTheme="minorHAnsi" w:hAnsiTheme="minorHAnsi" w:cstheme="minorHAnsi"/>
          <w:snapToGrid w:val="0"/>
          <w:sz w:val="22"/>
          <w:szCs w:val="22"/>
        </w:rPr>
      </w:pPr>
      <w:r w:rsidRPr="00AC2560">
        <w:rPr>
          <w:rFonts w:asciiTheme="minorHAnsi" w:hAnsiTheme="minorHAnsi" w:cstheme="minorHAnsi"/>
          <w:snapToGrid w:val="0"/>
          <w:sz w:val="22"/>
        </w:rPr>
        <w:t>Más le haghaidh cuspóirí taighde nó gnó é an ghníomhaíocht a bhfuil ceadúnas ann do lena haghaidh, ní mór don sealbhóir ceadúnais Seirbhís na Séadchomharthaí Náisiúnta a chur ar an eolas, dhá lá oibre ar a laghad sula dtosaíonn siad.</w:t>
      </w:r>
    </w:p>
    <w:p w14:paraId="52F750D9" w14:textId="77777777" w:rsidR="00B94B9E" w:rsidRPr="00AC2560" w:rsidRDefault="00B94B9E" w:rsidP="00560300">
      <w:pPr>
        <w:jc w:val="both"/>
        <w:rPr>
          <w:rFonts w:asciiTheme="minorHAnsi" w:hAnsiTheme="minorHAnsi" w:cstheme="minorHAnsi"/>
          <w:snapToGrid w:val="0"/>
          <w:sz w:val="22"/>
          <w:szCs w:val="22"/>
        </w:rPr>
      </w:pPr>
    </w:p>
    <w:p w14:paraId="74E5885E" w14:textId="3D8110E5" w:rsidR="00B94B9E" w:rsidRPr="00AC2560" w:rsidRDefault="00B94B9E" w:rsidP="00560300">
      <w:pPr>
        <w:numPr>
          <w:ilvl w:val="0"/>
          <w:numId w:val="6"/>
        </w:numPr>
        <w:jc w:val="both"/>
        <w:rPr>
          <w:rFonts w:asciiTheme="minorHAnsi" w:hAnsiTheme="minorHAnsi" w:cstheme="minorHAnsi"/>
          <w:snapToGrid w:val="0"/>
          <w:sz w:val="22"/>
          <w:szCs w:val="22"/>
        </w:rPr>
      </w:pPr>
      <w:r w:rsidRPr="00AC2560">
        <w:rPr>
          <w:rFonts w:asciiTheme="minorHAnsi" w:hAnsiTheme="minorHAnsi" w:cstheme="minorHAnsi"/>
          <w:snapToGrid w:val="0"/>
          <w:sz w:val="22"/>
        </w:rPr>
        <w:t xml:space="preserve">Ní fhéadfaidh an sealbhóir ceadúnais, ná daoine a thumann nó a ghabhann do ghníomhaíocht ar bith, mar thacaíocht don sealbhóir ceadúnais nó faoina dtreoir, cur isteach ar an mbád briste/an láithreán atá i gceist ná cuid ar bith de a bhaint, seachas má bhí sé sin beartaithe go soiléir san iarratas a rinneadh ar Sheirbhís na Séadchomharthaí Náisiúnta agus má fhaomhtar go soiléir é leis an gceadúnas mar a eisítear é. </w:t>
      </w:r>
    </w:p>
    <w:p w14:paraId="5E57F31F" w14:textId="77777777" w:rsidR="00C83063" w:rsidRPr="00AC2560" w:rsidRDefault="00C83063" w:rsidP="00560300">
      <w:pPr>
        <w:pStyle w:val="ListParagraph"/>
        <w:jc w:val="both"/>
        <w:rPr>
          <w:rFonts w:asciiTheme="minorHAnsi" w:hAnsiTheme="minorHAnsi" w:cstheme="minorHAnsi"/>
          <w:snapToGrid w:val="0"/>
          <w:sz w:val="22"/>
          <w:szCs w:val="22"/>
        </w:rPr>
      </w:pPr>
    </w:p>
    <w:p w14:paraId="0F428C8F" w14:textId="752DEAE3" w:rsidR="00C83063" w:rsidRPr="00AC2560" w:rsidRDefault="00C83063" w:rsidP="00560300">
      <w:pPr>
        <w:pStyle w:val="ListParagraph"/>
        <w:numPr>
          <w:ilvl w:val="0"/>
          <w:numId w:val="6"/>
        </w:numPr>
        <w:jc w:val="both"/>
        <w:rPr>
          <w:rFonts w:asciiTheme="minorHAnsi" w:hAnsiTheme="minorHAnsi" w:cstheme="minorHAnsi"/>
          <w:snapToGrid w:val="0"/>
          <w:sz w:val="22"/>
          <w:szCs w:val="22"/>
        </w:rPr>
      </w:pPr>
      <w:r w:rsidRPr="00AC2560">
        <w:rPr>
          <w:rFonts w:asciiTheme="minorHAnsi" w:hAnsiTheme="minorHAnsi" w:cstheme="minorHAnsi"/>
          <w:snapToGrid w:val="0"/>
          <w:sz w:val="22"/>
        </w:rPr>
        <w:t>Féadfaidh oifigigh, seirbhísigh nó gníomhairí de chuid an Aire nó Bhord Ard-Mhúsaem na hÉireann cigireacht a dhéanamh uair ar bith is réasúnta ar an ngníomhaíocht a bhfuil ceadúnas tugtha lena haghaidh agus lena mbaineann an ghníomhaíocht seo.</w:t>
      </w:r>
    </w:p>
    <w:p w14:paraId="0716F20A" w14:textId="77777777" w:rsidR="00C83063" w:rsidRPr="00AC2560" w:rsidRDefault="00C83063" w:rsidP="00560300">
      <w:pPr>
        <w:pStyle w:val="ListParagraph"/>
        <w:jc w:val="both"/>
        <w:rPr>
          <w:rFonts w:asciiTheme="minorHAnsi" w:hAnsiTheme="minorHAnsi" w:cstheme="minorHAnsi"/>
          <w:snapToGrid w:val="0"/>
          <w:sz w:val="22"/>
          <w:szCs w:val="22"/>
        </w:rPr>
      </w:pPr>
    </w:p>
    <w:p w14:paraId="75BC92C8" w14:textId="7D5ED3AA" w:rsidR="00C83063" w:rsidRPr="00AC2560" w:rsidRDefault="00C83063" w:rsidP="00560300">
      <w:pPr>
        <w:pStyle w:val="ListParagraph"/>
        <w:numPr>
          <w:ilvl w:val="0"/>
          <w:numId w:val="6"/>
        </w:numPr>
        <w:jc w:val="both"/>
        <w:rPr>
          <w:rFonts w:asciiTheme="minorHAnsi" w:hAnsiTheme="minorHAnsi" w:cstheme="minorHAnsi"/>
          <w:snapToGrid w:val="0"/>
          <w:sz w:val="22"/>
          <w:szCs w:val="22"/>
        </w:rPr>
      </w:pPr>
      <w:r w:rsidRPr="00AC2560">
        <w:rPr>
          <w:rFonts w:asciiTheme="minorHAnsi" w:hAnsiTheme="minorHAnsi" w:cstheme="minorHAnsi"/>
          <w:snapToGrid w:val="0"/>
          <w:sz w:val="22"/>
        </w:rPr>
        <w:t>Glacann an ceadúnaí leis maidir le mainneachtain aici nó aige, nó acu siúd atá ainmnithe aige nó aici, cloí le ceann ar bith de na coinníollacha caighdeánacha, nó na coinníollacha speisialta a ghabhann leis an gceadúnas, nó iad a chomhlíonadh, go mbeidh an mhainneachtain sin ina chúis ag an Aire diúltú ceadúnas breise nó eile faoi alt 3 d</w:t>
      </w:r>
      <w:r w:rsidR="00AC2560">
        <w:rPr>
          <w:rFonts w:asciiTheme="minorHAnsi" w:hAnsiTheme="minorHAnsi" w:cstheme="minorHAnsi"/>
          <w:snapToGrid w:val="0"/>
          <w:sz w:val="22"/>
        </w:rPr>
        <w:t>’</w:t>
      </w:r>
      <w:r w:rsidRPr="00AC2560">
        <w:rPr>
          <w:rFonts w:asciiTheme="minorHAnsi" w:hAnsiTheme="minorHAnsi" w:cstheme="minorHAnsi"/>
          <w:snapToGrid w:val="0"/>
          <w:sz w:val="22"/>
        </w:rPr>
        <w:t xml:space="preserve">Acht na Séadchomharthaí Náisiúnta (Leasú) 1987 nó ceadúnas nó cead eile faoi Achtanna na Séadchomharthaí Náisiúnta 1930 go 2014 a eisiúint chuici nó chuige. Ní léirmhíneofar go gcuireann rud ar bith sa choinníoll seo de cheangal ar an Aire ceadúnas nó cead áirithe ar bith a eisiúint ar féidir iarratas a dhéanamh </w:t>
      </w:r>
      <w:r w:rsidRPr="00AC2560">
        <w:rPr>
          <w:rFonts w:asciiTheme="minorHAnsi" w:hAnsiTheme="minorHAnsi" w:cstheme="minorHAnsi"/>
          <w:snapToGrid w:val="0"/>
          <w:sz w:val="22"/>
        </w:rPr>
        <w:lastRenderedPageBreak/>
        <w:t xml:space="preserve">air faoi Achtanna na Séadchomharthaí Náisiúnta 1930 go 2014. I gcás iarratasóra atá míshásta faoi dhiúltú ag an Aire de bhun an Choinníll seo ceadúnas nó cead a eisiúint nó a dheonú, féadfaidh siad iarraidh ar an Aire an cinneadh a athbhreithniú. I gcás go n-iarrfar athbhreithniú dá leithéid, ceapfaidh an tAire duine nó daoine neamhspleách(a) ag a bhfuil na cáilíochtaí cuí chun an cás a athbhreithniú agus moladh a dhéanamh don Aire. Fágtar faoin Aire an cinneadh deireanach a dhéanamh i ndáil leis an ábhar. </w:t>
      </w:r>
    </w:p>
    <w:p w14:paraId="24AD81CD" w14:textId="77777777" w:rsidR="00B94B9E" w:rsidRPr="00AC2560" w:rsidRDefault="00B94B9E" w:rsidP="00560300">
      <w:pPr>
        <w:jc w:val="both"/>
        <w:rPr>
          <w:rFonts w:asciiTheme="minorHAnsi" w:hAnsiTheme="minorHAnsi" w:cstheme="minorHAnsi"/>
          <w:snapToGrid w:val="0"/>
          <w:sz w:val="22"/>
          <w:szCs w:val="22"/>
        </w:rPr>
      </w:pPr>
    </w:p>
    <w:p w14:paraId="5A3A843C" w14:textId="11EFE411" w:rsidR="00916B8D" w:rsidRPr="00AC2560" w:rsidRDefault="00916B8D" w:rsidP="00560300">
      <w:pPr>
        <w:numPr>
          <w:ilvl w:val="0"/>
          <w:numId w:val="6"/>
        </w:numPr>
        <w:jc w:val="both"/>
        <w:rPr>
          <w:rFonts w:asciiTheme="minorHAnsi" w:hAnsiTheme="minorHAnsi" w:cstheme="minorHAnsi"/>
          <w:snapToGrid w:val="0"/>
          <w:sz w:val="22"/>
          <w:szCs w:val="22"/>
        </w:rPr>
      </w:pPr>
      <w:r w:rsidRPr="00AC2560">
        <w:rPr>
          <w:rFonts w:asciiTheme="minorHAnsi" w:hAnsiTheme="minorHAnsi" w:cstheme="minorHAnsi"/>
          <w:snapToGrid w:val="0"/>
          <w:sz w:val="22"/>
        </w:rPr>
        <w:t>Féadfaidh an tAire an ceadúnas seo a chúlghairm nó a chur ar fionraí ar an mbonn gur sáraíodh, nó nár comhlíonadh, coinníoll ar bith a ghabhann leis an gceadúnas seo nó seachas sin ar an mbonn gur gá cúlghairm nó cur ar fionraí ar mhaithe leis an oidhreacht seandálaíochta nó eile a chosaint nó seachas sin, go bhfuil sé chun leas an phobail. Is amhlaidh sin gan dochar do chumhachtaí ar bith atá ag an Aire faoi achtú ar bith.</w:t>
      </w:r>
    </w:p>
    <w:p w14:paraId="3B0D13BA" w14:textId="357AAFE3" w:rsidR="00916B8D" w:rsidRPr="00AC2560" w:rsidRDefault="00916B8D" w:rsidP="00560300">
      <w:pPr>
        <w:jc w:val="both"/>
        <w:rPr>
          <w:rFonts w:asciiTheme="minorHAnsi" w:hAnsiTheme="minorHAnsi" w:cstheme="minorHAnsi"/>
          <w:snapToGrid w:val="0"/>
          <w:sz w:val="22"/>
          <w:szCs w:val="22"/>
        </w:rPr>
      </w:pPr>
    </w:p>
    <w:p w14:paraId="2F594E7F" w14:textId="398C0D80" w:rsidR="004D0716" w:rsidRPr="00AC2560" w:rsidRDefault="00B4075F" w:rsidP="00560300">
      <w:pPr>
        <w:numPr>
          <w:ilvl w:val="0"/>
          <w:numId w:val="6"/>
        </w:numPr>
        <w:jc w:val="both"/>
        <w:rPr>
          <w:rFonts w:asciiTheme="minorHAnsi" w:hAnsiTheme="minorHAnsi" w:cstheme="minorHAnsi"/>
          <w:snapToGrid w:val="0"/>
          <w:sz w:val="22"/>
          <w:szCs w:val="22"/>
        </w:rPr>
      </w:pPr>
      <w:r w:rsidRPr="00AC2560">
        <w:rPr>
          <w:rFonts w:asciiTheme="minorHAnsi" w:hAnsiTheme="minorHAnsi" w:cstheme="minorHAnsi"/>
          <w:snapToGrid w:val="0"/>
          <w:sz w:val="22"/>
        </w:rPr>
        <w:t>Más le haghaidh tumtha fóillíochta amháin atá an ceadúnas ceaptha, ní mór don sealbhóir ceadúnais cuntas scríofa gairid a thabhairt ar ghníomhaíocht tumtha ar bith arna déanamh faoin gceadúnas seo chomh maith le cur síos gairid ar riocht ginearálta an láithreáin/an bháid bhriste, roimh dheireadh na bliana inar deonaíodh an ceadúnas. Tá sé sin gan dochar do cheanglas tuairiscithe eile ar bith faoi choinníollacha eile an cheadúnais seo.</w:t>
      </w:r>
    </w:p>
    <w:p w14:paraId="5D3D4F85" w14:textId="77777777" w:rsidR="00B4075F" w:rsidRPr="00AC2560" w:rsidRDefault="00B4075F" w:rsidP="00813B8D">
      <w:pPr>
        <w:pStyle w:val="ListParagraph"/>
        <w:rPr>
          <w:rFonts w:asciiTheme="minorHAnsi" w:hAnsiTheme="minorHAnsi" w:cstheme="minorHAnsi"/>
          <w:snapToGrid w:val="0"/>
          <w:sz w:val="22"/>
          <w:szCs w:val="22"/>
        </w:rPr>
      </w:pPr>
    </w:p>
    <w:p w14:paraId="14208B31" w14:textId="7469FE20" w:rsidR="00B4075F" w:rsidRPr="00AC2560" w:rsidRDefault="00B4075F" w:rsidP="00B4075F">
      <w:pPr>
        <w:numPr>
          <w:ilvl w:val="0"/>
          <w:numId w:val="6"/>
        </w:numPr>
        <w:jc w:val="both"/>
        <w:rPr>
          <w:rFonts w:asciiTheme="minorHAnsi" w:hAnsiTheme="minorHAnsi" w:cstheme="minorHAnsi"/>
          <w:snapToGrid w:val="0"/>
          <w:sz w:val="22"/>
          <w:szCs w:val="22"/>
        </w:rPr>
      </w:pPr>
      <w:r w:rsidRPr="00AC2560">
        <w:rPr>
          <w:rFonts w:asciiTheme="minorHAnsi" w:hAnsiTheme="minorHAnsi" w:cstheme="minorHAnsi"/>
          <w:snapToGrid w:val="0"/>
          <w:sz w:val="22"/>
        </w:rPr>
        <w:t>Más le haghaidh cuspóirí taighde/tráchtála amháin é an ceadúnas, ansin ní mór don sealbhóir ceadúnais tuairisc shonrach a thabhairt ar an ngníomhaíocht tumadóireachta agus ar na torthaí uirthi laistigh den amfhráma riachtanach de réir mar atá leagtha amach laistigh den mhodheolaíocht fhaofa. Tá sé sin gan dochar do cheanglas tuairiscithe eile ar bith faoi choinníollacha eile an cheadúnais seo.</w:t>
      </w:r>
    </w:p>
    <w:p w14:paraId="63D0D30C" w14:textId="77777777" w:rsidR="00B4075F" w:rsidRPr="00AC2560" w:rsidRDefault="00B4075F" w:rsidP="00FC6241">
      <w:pPr>
        <w:ind w:left="360"/>
        <w:jc w:val="both"/>
        <w:rPr>
          <w:rFonts w:asciiTheme="minorHAnsi" w:hAnsiTheme="minorHAnsi" w:cstheme="minorHAnsi"/>
          <w:snapToGrid w:val="0"/>
          <w:sz w:val="22"/>
          <w:szCs w:val="22"/>
        </w:rPr>
      </w:pPr>
    </w:p>
    <w:p w14:paraId="10251A62" w14:textId="77777777" w:rsidR="004D0716" w:rsidRPr="00AC2560" w:rsidRDefault="004D0716" w:rsidP="00560300">
      <w:pPr>
        <w:pStyle w:val="ListParagraph"/>
        <w:jc w:val="both"/>
        <w:rPr>
          <w:rFonts w:asciiTheme="minorHAnsi" w:hAnsiTheme="minorHAnsi" w:cstheme="minorHAnsi"/>
          <w:snapToGrid w:val="0"/>
          <w:sz w:val="22"/>
          <w:szCs w:val="22"/>
        </w:rPr>
      </w:pPr>
    </w:p>
    <w:p w14:paraId="4CCA772A" w14:textId="4CFF13E8" w:rsidR="00476262" w:rsidRPr="00AC2560" w:rsidRDefault="003C60EA" w:rsidP="00560300">
      <w:pPr>
        <w:numPr>
          <w:ilvl w:val="0"/>
          <w:numId w:val="6"/>
        </w:numPr>
        <w:jc w:val="both"/>
        <w:rPr>
          <w:rFonts w:asciiTheme="minorHAnsi" w:hAnsiTheme="minorHAnsi" w:cstheme="minorHAnsi"/>
          <w:snapToGrid w:val="0"/>
          <w:sz w:val="22"/>
          <w:szCs w:val="22"/>
        </w:rPr>
      </w:pPr>
      <w:r w:rsidRPr="00AC2560">
        <w:rPr>
          <w:rFonts w:asciiTheme="minorHAnsi" w:hAnsiTheme="minorHAnsi" w:cstheme="minorHAnsi"/>
          <w:snapToGrid w:val="0"/>
          <w:sz w:val="22"/>
        </w:rPr>
        <w:t xml:space="preserve">Ní mór go mbeadh an tuairisc arna héileamh faoi Choinníoll 10 san fhormáid seo a leanas: </w:t>
      </w:r>
      <w:r w:rsidRPr="00AC2560">
        <w:rPr>
          <w:rFonts w:asciiTheme="minorHAnsi" w:hAnsiTheme="minorHAnsi" w:cstheme="minorHAnsi"/>
          <w:b/>
          <w:snapToGrid w:val="0"/>
          <w:sz w:val="22"/>
        </w:rPr>
        <w:t>cóip dhigiteach amháin (formáid PDF)</w:t>
      </w:r>
      <w:r w:rsidRPr="00AC2560">
        <w:rPr>
          <w:rFonts w:asciiTheme="minorHAnsi" w:hAnsiTheme="minorHAnsi" w:cstheme="minorHAnsi"/>
          <w:snapToGrid w:val="0"/>
          <w:sz w:val="22"/>
        </w:rPr>
        <w:t>.</w:t>
      </w:r>
    </w:p>
    <w:p w14:paraId="589456E3" w14:textId="77777777" w:rsidR="00476262" w:rsidRPr="00AC2560" w:rsidRDefault="00476262" w:rsidP="00476262">
      <w:pPr>
        <w:ind w:left="720"/>
        <w:jc w:val="both"/>
        <w:rPr>
          <w:rFonts w:asciiTheme="minorHAnsi" w:hAnsiTheme="minorHAnsi" w:cstheme="minorHAnsi"/>
          <w:snapToGrid w:val="0"/>
          <w:sz w:val="22"/>
          <w:szCs w:val="22"/>
        </w:rPr>
      </w:pPr>
    </w:p>
    <w:p w14:paraId="6304AD47" w14:textId="0B7EF927" w:rsidR="00560300" w:rsidRPr="00AC2560" w:rsidRDefault="00813B8D" w:rsidP="00560300">
      <w:pPr>
        <w:numPr>
          <w:ilvl w:val="0"/>
          <w:numId w:val="6"/>
        </w:numPr>
        <w:jc w:val="both"/>
        <w:rPr>
          <w:rFonts w:asciiTheme="minorHAnsi" w:hAnsiTheme="minorHAnsi" w:cstheme="minorHAnsi"/>
          <w:snapToGrid w:val="0"/>
          <w:sz w:val="22"/>
          <w:szCs w:val="22"/>
        </w:rPr>
      </w:pPr>
      <w:r w:rsidRPr="00AC2560">
        <w:rPr>
          <w:rFonts w:asciiTheme="minorHAnsi" w:hAnsiTheme="minorHAnsi" w:cstheme="minorHAnsi"/>
          <w:snapToGrid w:val="0"/>
          <w:sz w:val="22"/>
        </w:rPr>
        <w:t>Ní mór go mbeadh an tuairisc arna héileamh faoi Choinníoll 11 sna formáidí seo a leanas:</w:t>
      </w:r>
      <w:r w:rsidRPr="00AC2560">
        <w:rPr>
          <w:rFonts w:asciiTheme="minorHAnsi" w:hAnsiTheme="minorHAnsi" w:cstheme="minorHAnsi"/>
          <w:b/>
          <w:snapToGrid w:val="0"/>
          <w:sz w:val="22"/>
        </w:rPr>
        <w:t xml:space="preserve"> cóip dhigiteach amháin (formáid PDF) agus dhá chóip chrua</w:t>
      </w:r>
      <w:r w:rsidRPr="00AC2560">
        <w:rPr>
          <w:rFonts w:asciiTheme="minorHAnsi" w:hAnsiTheme="minorHAnsi" w:cstheme="minorHAnsi"/>
          <w:snapToGrid w:val="0"/>
          <w:sz w:val="22"/>
        </w:rPr>
        <w:t xml:space="preserve"> le cur ar fáil do Sheirbhís na Séadchomharthaí Náisiúnta, agus </w:t>
      </w:r>
      <w:r w:rsidRPr="00AC2560">
        <w:rPr>
          <w:rFonts w:asciiTheme="minorHAnsi" w:hAnsiTheme="minorHAnsi" w:cstheme="minorHAnsi"/>
          <w:b/>
          <w:snapToGrid w:val="0"/>
          <w:sz w:val="22"/>
        </w:rPr>
        <w:t>cóip dhigiteach amháin (formáid PDF) agus cóip chrua amháin</w:t>
      </w:r>
      <w:r w:rsidRPr="00AC2560">
        <w:rPr>
          <w:rFonts w:asciiTheme="minorHAnsi" w:hAnsiTheme="minorHAnsi" w:cstheme="minorHAnsi"/>
          <w:snapToGrid w:val="0"/>
          <w:sz w:val="22"/>
        </w:rPr>
        <w:t xml:space="preserve"> le cur ar fáil d</w:t>
      </w:r>
      <w:r w:rsidR="00AC2560">
        <w:rPr>
          <w:rFonts w:asciiTheme="minorHAnsi" w:hAnsiTheme="minorHAnsi" w:cstheme="minorHAnsi"/>
          <w:snapToGrid w:val="0"/>
          <w:sz w:val="22"/>
        </w:rPr>
        <w:t>’</w:t>
      </w:r>
      <w:r w:rsidRPr="00AC2560">
        <w:rPr>
          <w:rFonts w:asciiTheme="minorHAnsi" w:hAnsiTheme="minorHAnsi" w:cstheme="minorHAnsi"/>
          <w:snapToGrid w:val="0"/>
          <w:sz w:val="22"/>
        </w:rPr>
        <w:t>Ard-Mhúsaem na hÉireann.</w:t>
      </w:r>
    </w:p>
    <w:p w14:paraId="6869C7C9" w14:textId="4743146B" w:rsidR="00560300" w:rsidRPr="00AC2560" w:rsidRDefault="00560300" w:rsidP="00560300">
      <w:pPr>
        <w:jc w:val="both"/>
        <w:rPr>
          <w:rFonts w:asciiTheme="minorHAnsi" w:hAnsiTheme="minorHAnsi" w:cstheme="minorHAnsi"/>
          <w:snapToGrid w:val="0"/>
          <w:sz w:val="22"/>
          <w:szCs w:val="22"/>
        </w:rPr>
      </w:pPr>
    </w:p>
    <w:p w14:paraId="01F633A8" w14:textId="77777777" w:rsidR="006B2DEA" w:rsidRPr="00AC2560" w:rsidRDefault="006B2DEA" w:rsidP="00056B66">
      <w:pPr>
        <w:ind w:left="705"/>
        <w:jc w:val="both"/>
        <w:rPr>
          <w:rFonts w:asciiTheme="minorHAnsi" w:hAnsiTheme="minorHAnsi" w:cstheme="minorHAnsi"/>
          <w:snapToGrid w:val="0"/>
          <w:sz w:val="22"/>
          <w:szCs w:val="22"/>
        </w:rPr>
      </w:pPr>
    </w:p>
    <w:p w14:paraId="7C41AF59" w14:textId="65F8C6FD" w:rsidR="00B94B9E" w:rsidRPr="00AC2560" w:rsidRDefault="005E0371" w:rsidP="00560300">
      <w:pPr>
        <w:tabs>
          <w:tab w:val="left" w:pos="709"/>
        </w:tabs>
        <w:jc w:val="both"/>
        <w:rPr>
          <w:rFonts w:asciiTheme="minorHAnsi" w:hAnsiTheme="minorHAnsi" w:cstheme="minorHAnsi"/>
          <w:b/>
          <w:snapToGrid w:val="0"/>
          <w:sz w:val="22"/>
          <w:szCs w:val="22"/>
        </w:rPr>
      </w:pPr>
      <w:r w:rsidRPr="00AC2560">
        <w:rPr>
          <w:rFonts w:asciiTheme="minorHAnsi" w:hAnsiTheme="minorHAnsi" w:cstheme="minorHAnsi"/>
          <w:b/>
          <w:snapToGrid w:val="0"/>
          <w:sz w:val="22"/>
        </w:rPr>
        <w:t>Nóta Comhairle</w:t>
      </w:r>
    </w:p>
    <w:p w14:paraId="7347F140" w14:textId="1D289F08" w:rsidR="00813B8D" w:rsidRPr="00AC2560" w:rsidRDefault="005E0371" w:rsidP="00476262">
      <w:pPr>
        <w:pStyle w:val="ListParagraph"/>
        <w:numPr>
          <w:ilvl w:val="0"/>
          <w:numId w:val="8"/>
        </w:numPr>
        <w:ind w:left="714" w:hanging="357"/>
        <w:jc w:val="both"/>
        <w:rPr>
          <w:rFonts w:asciiTheme="minorHAnsi" w:hAnsiTheme="minorHAnsi" w:cstheme="minorHAnsi"/>
          <w:snapToGrid w:val="0"/>
          <w:sz w:val="22"/>
          <w:szCs w:val="22"/>
        </w:rPr>
      </w:pPr>
      <w:r w:rsidRPr="00AC2560">
        <w:rPr>
          <w:rFonts w:asciiTheme="minorHAnsi" w:hAnsiTheme="minorHAnsi" w:cstheme="minorHAnsi"/>
          <w:snapToGrid w:val="0"/>
          <w:sz w:val="22"/>
        </w:rPr>
        <w:t>Is bunriachtanach a thabhairt faoi deara, i gcás eisiúint ceadúnais ag an Aire faoi alt 3 d</w:t>
      </w:r>
      <w:r w:rsidR="00AC2560">
        <w:rPr>
          <w:rFonts w:asciiTheme="minorHAnsi" w:hAnsiTheme="minorHAnsi" w:cstheme="minorHAnsi"/>
          <w:snapToGrid w:val="0"/>
          <w:sz w:val="22"/>
        </w:rPr>
        <w:t>’</w:t>
      </w:r>
      <w:r w:rsidRPr="00AC2560">
        <w:rPr>
          <w:rFonts w:asciiTheme="minorHAnsi" w:hAnsiTheme="minorHAnsi" w:cstheme="minorHAnsi"/>
          <w:snapToGrid w:val="0"/>
          <w:sz w:val="22"/>
        </w:rPr>
        <w:t>Acht na Séadchomharthaí Náisiúnta (Leasú) 1987 nach dtugtar, ach amháin má fhoráiltear go soiléir dó faoin dlí, díolúine leis ó aon oibleagáidí reachtúla nó dlí eile. Tá sé mar oibleagáid ar an iarratasóir a chinntiú go gcomhlíontar gach oibleagáid dá leithéid agus nach bhfuil freagracht ná dliteanas ar bith ar an Aire nó nach nglacann siad le freagracht ná dliteanas ar bith maidir le mainneachtain ag an iarratasóir déanamh amhlaidh ná na torthaí (sibhialta nó coiriúla) a</w:t>
      </w:r>
      <w:r w:rsidR="00AC2560">
        <w:rPr>
          <w:rFonts w:asciiTheme="minorHAnsi" w:hAnsiTheme="minorHAnsi" w:cstheme="minorHAnsi"/>
          <w:snapToGrid w:val="0"/>
          <w:sz w:val="22"/>
        </w:rPr>
        <w:t> </w:t>
      </w:r>
      <w:r w:rsidRPr="00AC2560">
        <w:rPr>
          <w:rFonts w:asciiTheme="minorHAnsi" w:hAnsiTheme="minorHAnsi" w:cstheme="minorHAnsi"/>
          <w:snapToGrid w:val="0"/>
          <w:sz w:val="22"/>
        </w:rPr>
        <w:t>d</w:t>
      </w:r>
      <w:r w:rsidR="00AC2560">
        <w:rPr>
          <w:rFonts w:asciiTheme="minorHAnsi" w:hAnsiTheme="minorHAnsi" w:cstheme="minorHAnsi"/>
          <w:snapToGrid w:val="0"/>
          <w:sz w:val="22"/>
        </w:rPr>
        <w:t>’</w:t>
      </w:r>
      <w:r w:rsidRPr="00AC2560">
        <w:rPr>
          <w:rFonts w:asciiTheme="minorHAnsi" w:hAnsiTheme="minorHAnsi" w:cstheme="minorHAnsi"/>
          <w:snapToGrid w:val="0"/>
          <w:sz w:val="22"/>
        </w:rPr>
        <w:t>fhéadfadh a theacht chun cinn ón mainneachtain sin. Áirítear leis sin cead ar bith a</w:t>
      </w:r>
      <w:r w:rsidR="00AC2560">
        <w:rPr>
          <w:rFonts w:asciiTheme="minorHAnsi" w:hAnsiTheme="minorHAnsi" w:cstheme="minorHAnsi"/>
          <w:snapToGrid w:val="0"/>
          <w:sz w:val="22"/>
        </w:rPr>
        <w:t> </w:t>
      </w:r>
      <w:r w:rsidRPr="00AC2560">
        <w:rPr>
          <w:rFonts w:asciiTheme="minorHAnsi" w:hAnsiTheme="minorHAnsi" w:cstheme="minorHAnsi"/>
          <w:snapToGrid w:val="0"/>
          <w:sz w:val="22"/>
        </w:rPr>
        <w:t>theastaíonn, lena n-áirítear cead úinéirí aitheanta ar bith ar bhád briste/láithreán.</w:t>
      </w:r>
    </w:p>
    <w:p w14:paraId="3ACA779D" w14:textId="77777777" w:rsidR="00813B8D" w:rsidRPr="00AC2560" w:rsidRDefault="00813B8D" w:rsidP="00813B8D">
      <w:pPr>
        <w:pStyle w:val="ListParagraph"/>
        <w:jc w:val="both"/>
        <w:rPr>
          <w:rFonts w:asciiTheme="minorHAnsi" w:hAnsiTheme="minorHAnsi" w:cstheme="minorHAnsi"/>
          <w:snapToGrid w:val="0"/>
          <w:sz w:val="22"/>
          <w:szCs w:val="22"/>
        </w:rPr>
      </w:pPr>
    </w:p>
    <w:p w14:paraId="343F34B4" w14:textId="6EA7757C" w:rsidR="00476262" w:rsidRPr="00AC2560" w:rsidRDefault="00476262" w:rsidP="00476262">
      <w:pPr>
        <w:pStyle w:val="ListParagraph"/>
        <w:numPr>
          <w:ilvl w:val="0"/>
          <w:numId w:val="8"/>
        </w:numPr>
        <w:ind w:left="714" w:hanging="357"/>
        <w:jc w:val="both"/>
        <w:rPr>
          <w:rFonts w:ascii="Calibri" w:hAnsi="Calibri" w:cs="Calibri"/>
          <w:snapToGrid w:val="0"/>
          <w:sz w:val="22"/>
          <w:szCs w:val="22"/>
        </w:rPr>
      </w:pPr>
      <w:r w:rsidRPr="00AC2560">
        <w:rPr>
          <w:rFonts w:ascii="Calibri" w:hAnsi="Calibri" w:cs="Calibri"/>
          <w:snapToGrid w:val="0"/>
          <w:sz w:val="22"/>
        </w:rPr>
        <w:t>Go háirithe, i gcás go ndeonaítear ceadúnais faoi alt 3 d</w:t>
      </w:r>
      <w:r w:rsidR="00AC2560">
        <w:rPr>
          <w:rFonts w:ascii="Calibri" w:hAnsi="Calibri" w:cs="Calibri"/>
          <w:snapToGrid w:val="0"/>
          <w:sz w:val="22"/>
        </w:rPr>
        <w:t>’</w:t>
      </w:r>
      <w:r w:rsidRPr="00AC2560">
        <w:rPr>
          <w:rFonts w:ascii="Calibri" w:hAnsi="Calibri" w:cs="Calibri"/>
          <w:snapToGrid w:val="0"/>
          <w:sz w:val="22"/>
        </w:rPr>
        <w:t>Acht 1987 ní bhaintear leis an ngá le cead faoi alt 2 d</w:t>
      </w:r>
      <w:r w:rsidR="00AC2560">
        <w:rPr>
          <w:rFonts w:ascii="Calibri" w:hAnsi="Calibri" w:cs="Calibri"/>
          <w:snapToGrid w:val="0"/>
          <w:sz w:val="22"/>
        </w:rPr>
        <w:t>’</w:t>
      </w:r>
      <w:r w:rsidRPr="00AC2560">
        <w:rPr>
          <w:rFonts w:ascii="Calibri" w:hAnsi="Calibri" w:cs="Calibri"/>
          <w:snapToGrid w:val="0"/>
          <w:sz w:val="22"/>
        </w:rPr>
        <w:t>Acht 1987 chun "fearais bhraite" a úsáid mar atá sainmhínithe san Acht sin, nó nach mbaintear leis an ngá le ceadúnas chun tochailt seandálaíochta a dhéanamh faoi alt 26 d</w:t>
      </w:r>
      <w:r w:rsidR="00AC2560">
        <w:rPr>
          <w:rFonts w:ascii="Calibri" w:hAnsi="Calibri" w:cs="Calibri"/>
          <w:snapToGrid w:val="0"/>
          <w:sz w:val="22"/>
        </w:rPr>
        <w:t>’</w:t>
      </w:r>
      <w:r w:rsidRPr="00AC2560">
        <w:rPr>
          <w:rFonts w:ascii="Calibri" w:hAnsi="Calibri" w:cs="Calibri"/>
          <w:snapToGrid w:val="0"/>
          <w:sz w:val="22"/>
        </w:rPr>
        <w:t xml:space="preserve">Acht na Séadchomharthaí Náisiúnta 1930 (mar atá leasaithe). </w:t>
      </w:r>
    </w:p>
    <w:p w14:paraId="7C823815" w14:textId="4DBD7342" w:rsidR="00813B8D" w:rsidRPr="00AC2560" w:rsidRDefault="00813B8D" w:rsidP="00476262">
      <w:pPr>
        <w:pStyle w:val="ListParagraph"/>
        <w:jc w:val="both"/>
        <w:rPr>
          <w:rFonts w:asciiTheme="minorHAnsi" w:hAnsiTheme="minorHAnsi" w:cstheme="minorHAnsi"/>
          <w:snapToGrid w:val="0"/>
          <w:sz w:val="22"/>
          <w:szCs w:val="22"/>
        </w:rPr>
      </w:pPr>
    </w:p>
    <w:p w14:paraId="55B00CE4" w14:textId="77777777" w:rsidR="00B94B9E" w:rsidRPr="00121CFA" w:rsidRDefault="00B94B9E" w:rsidP="00560300">
      <w:pPr>
        <w:jc w:val="both"/>
        <w:rPr>
          <w:rFonts w:asciiTheme="minorHAnsi" w:hAnsiTheme="minorHAnsi" w:cstheme="minorHAnsi"/>
          <w:snapToGrid w:val="0"/>
          <w:sz w:val="22"/>
          <w:szCs w:val="22"/>
        </w:rPr>
      </w:pPr>
    </w:p>
    <w:sectPr w:rsidR="00B94B9E" w:rsidRPr="00121C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5094"/>
    <w:multiLevelType w:val="hybridMultilevel"/>
    <w:tmpl w:val="861EA61E"/>
    <w:lvl w:ilvl="0" w:tplc="0C2EA56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8080793"/>
    <w:multiLevelType w:val="hybridMultilevel"/>
    <w:tmpl w:val="CB3077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87675A5"/>
    <w:multiLevelType w:val="singleLevel"/>
    <w:tmpl w:val="1FE051A4"/>
    <w:lvl w:ilvl="0">
      <w:start w:val="1"/>
      <w:numFmt w:val="decimal"/>
      <w:lvlText w:val="%1."/>
      <w:lvlJc w:val="left"/>
      <w:pPr>
        <w:tabs>
          <w:tab w:val="num" w:pos="705"/>
        </w:tabs>
        <w:ind w:left="705" w:hanging="705"/>
      </w:pPr>
      <w:rPr>
        <w:rFonts w:hint="default"/>
        <w:b/>
      </w:rPr>
    </w:lvl>
  </w:abstractNum>
  <w:abstractNum w:abstractNumId="3" w15:restartNumberingAfterBreak="0">
    <w:nsid w:val="28D23E3A"/>
    <w:multiLevelType w:val="hybridMultilevel"/>
    <w:tmpl w:val="F216D446"/>
    <w:lvl w:ilvl="0" w:tplc="801C3148">
      <w:start w:val="3"/>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7DC2E63"/>
    <w:multiLevelType w:val="hybridMultilevel"/>
    <w:tmpl w:val="9F4A80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B5029FD"/>
    <w:multiLevelType w:val="hybridMultilevel"/>
    <w:tmpl w:val="204681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5871832"/>
    <w:multiLevelType w:val="hybridMultilevel"/>
    <w:tmpl w:val="CB3077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1301008"/>
    <w:multiLevelType w:val="hybridMultilevel"/>
    <w:tmpl w:val="646E4CA8"/>
    <w:lvl w:ilvl="0" w:tplc="531CBDF2">
      <w:start w:val="1"/>
      <w:numFmt w:val="decimal"/>
      <w:lvlText w:val="%1."/>
      <w:lvlJc w:val="left"/>
      <w:pPr>
        <w:ind w:left="720" w:hanging="360"/>
      </w:pPr>
      <w:rPr>
        <w:rFonts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54521059">
    <w:abstractNumId w:val="2"/>
  </w:num>
  <w:num w:numId="2" w16cid:durableId="2047563656">
    <w:abstractNumId w:val="3"/>
  </w:num>
  <w:num w:numId="3" w16cid:durableId="875772988">
    <w:abstractNumId w:val="4"/>
  </w:num>
  <w:num w:numId="4" w16cid:durableId="275600549">
    <w:abstractNumId w:val="7"/>
  </w:num>
  <w:num w:numId="5" w16cid:durableId="1366520845">
    <w:abstractNumId w:val="5"/>
  </w:num>
  <w:num w:numId="6" w16cid:durableId="1940411780">
    <w:abstractNumId w:val="6"/>
  </w:num>
  <w:num w:numId="7" w16cid:durableId="1615020899">
    <w:abstractNumId w:val="0"/>
  </w:num>
  <w:num w:numId="8" w16cid:durableId="897323934">
    <w:abstractNumId w:val="1"/>
  </w:num>
  <w:num w:numId="9" w16cid:durableId="810514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B9E"/>
    <w:rsid w:val="00007BAE"/>
    <w:rsid w:val="00056B66"/>
    <w:rsid w:val="000747EE"/>
    <w:rsid w:val="00121CFA"/>
    <w:rsid w:val="0013439A"/>
    <w:rsid w:val="00243C0D"/>
    <w:rsid w:val="003C60EA"/>
    <w:rsid w:val="00440ED4"/>
    <w:rsid w:val="00476262"/>
    <w:rsid w:val="004A6354"/>
    <w:rsid w:val="004D0716"/>
    <w:rsid w:val="005310FC"/>
    <w:rsid w:val="005349CA"/>
    <w:rsid w:val="00560300"/>
    <w:rsid w:val="005E0371"/>
    <w:rsid w:val="00663D93"/>
    <w:rsid w:val="006B2DEA"/>
    <w:rsid w:val="006F0672"/>
    <w:rsid w:val="007C5322"/>
    <w:rsid w:val="00806850"/>
    <w:rsid w:val="00813B8D"/>
    <w:rsid w:val="00823A48"/>
    <w:rsid w:val="00916B8D"/>
    <w:rsid w:val="009A160A"/>
    <w:rsid w:val="00AC2560"/>
    <w:rsid w:val="00B059CD"/>
    <w:rsid w:val="00B4075F"/>
    <w:rsid w:val="00B94B9E"/>
    <w:rsid w:val="00BC3582"/>
    <w:rsid w:val="00C613C2"/>
    <w:rsid w:val="00C83063"/>
    <w:rsid w:val="00CB6660"/>
    <w:rsid w:val="00D57627"/>
    <w:rsid w:val="00D97B2B"/>
    <w:rsid w:val="00DF0D9C"/>
    <w:rsid w:val="00DF104A"/>
    <w:rsid w:val="00DF5DC6"/>
    <w:rsid w:val="00F02773"/>
    <w:rsid w:val="00F156F5"/>
    <w:rsid w:val="00F87E8E"/>
    <w:rsid w:val="00FC62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8935"/>
  <w15:chartTrackingRefBased/>
  <w15:docId w15:val="{0FE1E957-ED61-448D-96E6-BA35FD84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94B9E"/>
    <w:pPr>
      <w:jc w:val="center"/>
    </w:pPr>
    <w:rPr>
      <w:rFonts w:ascii="Arial" w:hAnsi="Arial"/>
      <w:b/>
    </w:rPr>
  </w:style>
  <w:style w:type="character" w:customStyle="1" w:styleId="TitleChar">
    <w:name w:val="Title Char"/>
    <w:basedOn w:val="DefaultParagraphFont"/>
    <w:link w:val="Title"/>
    <w:rsid w:val="00B94B9E"/>
    <w:rPr>
      <w:rFonts w:ascii="Arial" w:eastAsia="Times New Roman" w:hAnsi="Arial" w:cs="Times New Roman"/>
      <w:b/>
      <w:sz w:val="20"/>
      <w:szCs w:val="20"/>
      <w:lang w:val="ga-IE"/>
    </w:rPr>
  </w:style>
  <w:style w:type="character" w:styleId="Hyperlink">
    <w:name w:val="Hyperlink"/>
    <w:rsid w:val="00B94B9E"/>
    <w:rPr>
      <w:color w:val="0000FF"/>
      <w:u w:val="single"/>
    </w:rPr>
  </w:style>
  <w:style w:type="paragraph" w:styleId="ListParagraph">
    <w:name w:val="List Paragraph"/>
    <w:basedOn w:val="Normal"/>
    <w:uiPriority w:val="34"/>
    <w:qFormat/>
    <w:rsid w:val="004D0716"/>
    <w:pPr>
      <w:ind w:left="720"/>
      <w:contextualSpacing/>
    </w:pPr>
  </w:style>
  <w:style w:type="character" w:styleId="CommentReference">
    <w:name w:val="annotation reference"/>
    <w:basedOn w:val="DefaultParagraphFont"/>
    <w:uiPriority w:val="99"/>
    <w:semiHidden/>
    <w:unhideWhenUsed/>
    <w:rsid w:val="00823A48"/>
    <w:rPr>
      <w:sz w:val="16"/>
      <w:szCs w:val="16"/>
    </w:rPr>
  </w:style>
  <w:style w:type="paragraph" w:styleId="CommentText">
    <w:name w:val="annotation text"/>
    <w:basedOn w:val="Normal"/>
    <w:link w:val="CommentTextChar"/>
    <w:uiPriority w:val="99"/>
    <w:semiHidden/>
    <w:unhideWhenUsed/>
    <w:rsid w:val="00823A48"/>
  </w:style>
  <w:style w:type="character" w:customStyle="1" w:styleId="CommentTextChar">
    <w:name w:val="Comment Text Char"/>
    <w:basedOn w:val="DefaultParagraphFont"/>
    <w:link w:val="CommentText"/>
    <w:uiPriority w:val="99"/>
    <w:semiHidden/>
    <w:rsid w:val="00823A48"/>
    <w:rPr>
      <w:rFonts w:ascii="Times New Roman" w:eastAsia="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sid w:val="00823A48"/>
    <w:rPr>
      <w:b/>
      <w:bCs/>
    </w:rPr>
  </w:style>
  <w:style w:type="character" w:customStyle="1" w:styleId="CommentSubjectChar">
    <w:name w:val="Comment Subject Char"/>
    <w:basedOn w:val="CommentTextChar"/>
    <w:link w:val="CommentSubject"/>
    <w:uiPriority w:val="99"/>
    <w:semiHidden/>
    <w:rsid w:val="00823A48"/>
    <w:rPr>
      <w:rFonts w:ascii="Times New Roman" w:eastAsia="Times New Roman" w:hAnsi="Times New Roman" w:cs="Times New Roman"/>
      <w:b/>
      <w:bCs/>
      <w:sz w:val="20"/>
      <w:szCs w:val="20"/>
      <w:lang w:val="ga-IE"/>
    </w:rPr>
  </w:style>
  <w:style w:type="paragraph" w:styleId="BalloonText">
    <w:name w:val="Balloon Text"/>
    <w:basedOn w:val="Normal"/>
    <w:link w:val="BalloonTextChar"/>
    <w:uiPriority w:val="99"/>
    <w:semiHidden/>
    <w:unhideWhenUsed/>
    <w:rsid w:val="00823A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A48"/>
    <w:rPr>
      <w:rFonts w:ascii="Segoe UI" w:eastAsia="Times New Roman" w:hAnsi="Segoe UI" w:cs="Segoe UI"/>
      <w:sz w:val="18"/>
      <w:szCs w:val="18"/>
      <w:lang w:val="ga-IE"/>
    </w:rPr>
  </w:style>
  <w:style w:type="character" w:styleId="UnresolvedMention">
    <w:name w:val="Unresolved Mention"/>
    <w:basedOn w:val="DefaultParagraphFont"/>
    <w:uiPriority w:val="99"/>
    <w:semiHidden/>
    <w:unhideWhenUsed/>
    <w:rsid w:val="00AC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65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haeology.i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Victoria Serrano</cp:lastModifiedBy>
  <cp:revision>6</cp:revision>
  <dcterms:created xsi:type="dcterms:W3CDTF">2026-01-27T09:42:00Z</dcterms:created>
  <dcterms:modified xsi:type="dcterms:W3CDTF">2026-02-05T09:17:00Z</dcterms:modified>
</cp:coreProperties>
</file>